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1235" w:leftChars="588" w:firstLine="220" w:firstLineChars="50"/>
        <w:rPr>
          <w:rFonts w:ascii="方正小标宋简体" w:hAnsi="方正小标宋_GBK" w:eastAsia="方正小标宋简体" w:cs="方正小标宋_GBK"/>
          <w:bCs/>
          <w:sz w:val="44"/>
          <w:szCs w:val="44"/>
        </w:rPr>
      </w:pPr>
    </w:p>
    <w:p>
      <w:pPr>
        <w:spacing w:line="600" w:lineRule="exact"/>
        <w:ind w:left="1235" w:leftChars="588" w:firstLine="220" w:firstLineChars="50"/>
        <w:rPr>
          <w:rFonts w:ascii="方正小标宋简体" w:hAnsi="方正小标宋_GBK" w:eastAsia="方正小标宋简体" w:cs="方正小标宋_GBK"/>
          <w:bCs/>
          <w:sz w:val="44"/>
          <w:szCs w:val="44"/>
        </w:rPr>
      </w:pPr>
      <w:r>
        <w:rPr>
          <w:rFonts w:hint="eastAsia" w:ascii="方正小标宋简体" w:hAnsi="方正小标宋_GBK" w:eastAsia="方正小标宋简体" w:cs="方正小标宋_GBK"/>
          <w:bCs/>
          <w:sz w:val="44"/>
          <w:szCs w:val="44"/>
        </w:rPr>
        <w:t>2024年全市统战理论研究和</w:t>
      </w:r>
    </w:p>
    <w:p>
      <w:pPr>
        <w:spacing w:line="600" w:lineRule="exact"/>
        <w:ind w:left="1235"/>
        <w:rPr>
          <w:rFonts w:ascii="方正小标宋简体" w:hAnsi="方正小标宋_GBK" w:eastAsia="方正小标宋简体" w:cs="方正小标宋_GBK"/>
          <w:bCs/>
          <w:sz w:val="44"/>
          <w:szCs w:val="44"/>
        </w:rPr>
      </w:pPr>
      <w:r>
        <w:rPr>
          <w:rFonts w:hint="eastAsia" w:ascii="方正小标宋简体" w:hAnsi="方正小标宋_GBK" w:eastAsia="方正小标宋简体" w:cs="方正小标宋_GBK"/>
          <w:bCs/>
          <w:sz w:val="44"/>
          <w:szCs w:val="44"/>
        </w:rPr>
        <w:t xml:space="preserve">   调查研究工作安排意见</w:t>
      </w:r>
    </w:p>
    <w:p>
      <w:pPr>
        <w:jc w:val="center"/>
        <w:rPr>
          <w:rFonts w:ascii="方正小标宋简体" w:hAnsi="仿宋_GB2312" w:eastAsia="方正小标宋简体" w:cs="仿宋_GB2312"/>
          <w:sz w:val="32"/>
          <w:szCs w:val="32"/>
        </w:rPr>
      </w:pPr>
    </w:p>
    <w:p>
      <w:pPr>
        <w:widowControl/>
        <w:spacing w:line="560" w:lineRule="exact"/>
        <w:ind w:firstLine="680" w:firstLineChars="200"/>
        <w:jc w:val="left"/>
        <w:rPr>
          <w:rFonts w:ascii="仿宋_GB2312" w:hAnsi="仿宋_GB2312" w:eastAsia="仿宋_GB2312" w:cs="仿宋_GB2312"/>
          <w:sz w:val="34"/>
          <w:szCs w:val="34"/>
        </w:rPr>
      </w:pPr>
      <w:r>
        <w:rPr>
          <w:rFonts w:hint="eastAsia" w:ascii="仿宋_GB2312" w:hAnsi="仿宋_GB2312" w:eastAsia="仿宋_GB2312" w:cs="仿宋_GB2312"/>
          <w:sz w:val="34"/>
          <w:szCs w:val="34"/>
        </w:rPr>
        <w:t>为深入学习贯彻党的二十大精神，认真贯彻落实中央、省委、市委统战工作会议精神及全省、全市统战部长会议精神，推动我市统战理论研究工作更好地围绕中心、服务大局，为党委政府科学决策提供服务，助力加快推动“两先区”高质量发展提质升级，根据省委统战部《2024年全省统战理论政策研究工作方案》有关重点任务，结合市社科联年度研究课题选题方向，由市委统战部与市社科联共同组织开展2024年全市统战理论研究和调查研究工作，现就相关工作提出如下安排意见。</w:t>
      </w:r>
    </w:p>
    <w:p>
      <w:pPr>
        <w:overflowPunct w:val="0"/>
        <w:spacing w:line="560" w:lineRule="exact"/>
        <w:ind w:firstLine="680" w:firstLineChars="200"/>
        <w:rPr>
          <w:rFonts w:ascii="仿宋_GB2312" w:hAnsi="仿宋_GB2312" w:eastAsia="仿宋_GB2312" w:cs="仿宋_GB2312"/>
          <w:sz w:val="34"/>
          <w:szCs w:val="34"/>
        </w:rPr>
      </w:pPr>
      <w:r>
        <w:rPr>
          <w:rFonts w:hint="eastAsia" w:ascii="黑体" w:hAnsi="黑体" w:eastAsia="黑体" w:cs="仿宋_GB2312"/>
          <w:sz w:val="34"/>
          <w:szCs w:val="34"/>
        </w:rPr>
        <w:t>一、总体要求</w:t>
      </w:r>
    </w:p>
    <w:p>
      <w:pPr>
        <w:overflowPunct w:val="0"/>
        <w:spacing w:line="560" w:lineRule="exact"/>
        <w:ind w:firstLine="680" w:firstLineChars="200"/>
        <w:rPr>
          <w:rFonts w:ascii="仿宋_GB2312" w:hAnsi="仿宋_GB2312" w:eastAsia="仿宋_GB2312" w:cs="仿宋_GB2312"/>
          <w:sz w:val="34"/>
          <w:szCs w:val="34"/>
        </w:rPr>
      </w:pPr>
      <w:r>
        <w:rPr>
          <w:rFonts w:hint="eastAsia" w:ascii="仿宋_GB2312" w:hAnsi="仿宋_GB2312" w:eastAsia="仿宋_GB2312" w:cs="仿宋_GB2312"/>
          <w:sz w:val="34"/>
          <w:szCs w:val="34"/>
        </w:rPr>
        <w:t>坚持以习近平新时代中国特色社会主义思想为指导，全面贯彻党的二十大和二十届二中全会精神，深入学习贯彻习近平总书记关于做好新时代党的统一战线工作的重要思想，坚决落实《中国共产党统一战线工作条例》，全面贯彻落实党中央关于统一战线各项决策部署及省委、市委工作要求，统筹推进理论研究与调查研究，着眼丰富发展党的统一战线理论，着重完善统一战线各领域政策举措，着力破解统一战线重点难点问题，突出基础性、理论性、前瞻性问题研究，强化理论创新、政策创新、举措创新，努力形成高质量的研究成果，为推进新时代统战工作和统一战线事业发展提供支撑。</w:t>
      </w:r>
      <w:r>
        <w:rPr>
          <w:rFonts w:hint="eastAsia" w:ascii="仿宋_GB2312" w:hAnsi="仿宋_GB2312" w:eastAsia="仿宋_GB2312" w:cs="仿宋_GB2312"/>
          <w:sz w:val="34"/>
          <w:szCs w:val="34"/>
        </w:rPr>
        <w:br w:type="textWrapping"/>
      </w:r>
      <w:r>
        <w:rPr>
          <w:rFonts w:hint="eastAsia" w:ascii="黑体" w:hAnsi="黑体" w:eastAsia="黑体" w:cs="黑体"/>
          <w:sz w:val="34"/>
          <w:szCs w:val="34"/>
        </w:rPr>
        <w:t xml:space="preserve">    二、选题方向</w:t>
      </w:r>
      <w:r>
        <w:rPr>
          <w:rFonts w:hint="eastAsia" w:ascii="仿宋_GB2312" w:hAnsi="仿宋_GB2312" w:eastAsia="仿宋_GB2312" w:cs="仿宋_GB2312"/>
          <w:sz w:val="34"/>
          <w:szCs w:val="34"/>
        </w:rPr>
        <w:br w:type="textWrapping"/>
      </w:r>
      <w:r>
        <w:rPr>
          <w:rFonts w:hint="eastAsia" w:ascii="仿宋_GB2312" w:hAnsi="仿宋_GB2312" w:eastAsia="仿宋_GB2312" w:cs="仿宋_GB2312"/>
          <w:sz w:val="34"/>
          <w:szCs w:val="34"/>
        </w:rPr>
        <w:t xml:space="preserve">    以习近平总书记关于做好新时代党的统一战线工作的重要思想为统领，围绕统战工作重大理论问题和各领域重点难点问题，参考《2024年全省统战理论政策研究工作方案》，现提供27个选题方向</w:t>
      </w:r>
      <w:r>
        <w:rPr>
          <w:rFonts w:ascii="仿宋_GB2312" w:hAnsi="仿宋_GB2312" w:eastAsia="仿宋_GB2312" w:cs="仿宋_GB2312"/>
          <w:sz w:val="34"/>
          <w:szCs w:val="34"/>
        </w:rPr>
        <w:t>,</w:t>
      </w:r>
      <w:r>
        <w:rPr>
          <w:rFonts w:hint="eastAsia" w:ascii="仿宋_GB2312" w:hAnsi="仿宋_GB2312" w:eastAsia="仿宋_GB2312" w:cs="仿宋_GB2312"/>
          <w:sz w:val="34"/>
          <w:szCs w:val="34"/>
        </w:rPr>
        <w:t>其中前12项为重点选题方向。</w:t>
      </w:r>
    </w:p>
    <w:p>
      <w:pPr>
        <w:overflowPunct w:val="0"/>
        <w:spacing w:line="560" w:lineRule="exact"/>
        <w:ind w:firstLine="680" w:firstLineChars="200"/>
        <w:rPr>
          <w:rFonts w:ascii="仿宋_GB2312" w:hAnsi="仿宋_GB2312" w:eastAsia="仿宋_GB2312" w:cs="仿宋_GB2312"/>
          <w:sz w:val="34"/>
          <w:szCs w:val="34"/>
        </w:rPr>
      </w:pPr>
      <w:r>
        <w:rPr>
          <w:rFonts w:hint="eastAsia" w:ascii="楷体_GB2312" w:hAnsi="楷体_GB2312" w:eastAsia="楷体_GB2312" w:cs="楷体_GB2312"/>
          <w:bCs/>
          <w:sz w:val="34"/>
          <w:szCs w:val="34"/>
        </w:rPr>
        <w:t>1.党委（党组）落实统战工作责任制研究。</w:t>
      </w:r>
      <w:r>
        <w:rPr>
          <w:rFonts w:hint="eastAsia" w:ascii="仿宋_GB2312" w:hAnsi="仿宋_GB2312" w:eastAsia="仿宋_GB2312" w:cs="仿宋_GB2312"/>
          <w:sz w:val="34"/>
          <w:szCs w:val="34"/>
        </w:rPr>
        <w:t>就各级党委（党组）落实统战工作责任制的重大原则、责任内容、督查考核、奖励与责任追究等内容开展专题研究，作出规定，推动党委（党组）更好履行统战工作主体责任。</w:t>
      </w:r>
    </w:p>
    <w:p>
      <w:pPr>
        <w:overflowPunct w:val="0"/>
        <w:spacing w:line="560" w:lineRule="exact"/>
        <w:ind w:firstLine="680" w:firstLineChars="200"/>
        <w:rPr>
          <w:rFonts w:ascii="仿宋_GB2312" w:hAnsi="仿宋_GB2312" w:eastAsia="仿宋_GB2312" w:cs="仿宋_GB2312"/>
          <w:sz w:val="34"/>
          <w:szCs w:val="34"/>
        </w:rPr>
      </w:pPr>
      <w:r>
        <w:rPr>
          <w:rFonts w:hint="eastAsia" w:ascii="楷体_GB2312" w:hAnsi="楷体_GB2312" w:eastAsia="楷体_GB2312" w:cs="楷体_GB2312"/>
          <w:bCs/>
          <w:sz w:val="34"/>
          <w:szCs w:val="34"/>
        </w:rPr>
        <w:t>2.党外人士思想政治引领针对性实效性研究。</w:t>
      </w:r>
      <w:r>
        <w:rPr>
          <w:rFonts w:hint="eastAsia" w:ascii="仿宋_GB2312" w:hAnsi="仿宋_GB2312" w:eastAsia="仿宋_GB2312" w:cs="仿宋_GB2312"/>
          <w:sz w:val="34"/>
          <w:szCs w:val="34"/>
        </w:rPr>
        <w:t>聚焦思想政治引领主责主业，围绕如何及时准确掌握党外人士思想动态开展调研，根据民主党派成员、党外知识分子、民族宗教界人士、民营经济人士、新的社会阶层人士、港澳台和侨界人士等不同思想状况和态势，有针对性地深入细致开展思想政治引领工作问题对策研究。</w:t>
      </w:r>
    </w:p>
    <w:p>
      <w:pPr>
        <w:overflowPunct w:val="0"/>
        <w:spacing w:line="560" w:lineRule="exact"/>
        <w:ind w:firstLine="703" w:firstLineChars="207"/>
        <w:rPr>
          <w:rFonts w:ascii="仿宋_GB2312" w:hAnsi="仿宋_GB2312" w:eastAsia="仿宋_GB2312" w:cs="仿宋_GB2312"/>
          <w:sz w:val="34"/>
          <w:szCs w:val="34"/>
        </w:rPr>
      </w:pPr>
      <w:r>
        <w:rPr>
          <w:rFonts w:hint="eastAsia" w:ascii="楷体_GB2312" w:hAnsi="楷体_GB2312" w:eastAsia="楷体_GB2312" w:cs="楷体_GB2312"/>
          <w:bCs/>
          <w:sz w:val="34"/>
          <w:szCs w:val="34"/>
        </w:rPr>
        <w:t>3.构建中国新型政党制度理论体系和话语体系研究。</w:t>
      </w:r>
      <w:r>
        <w:rPr>
          <w:rFonts w:hint="eastAsia" w:ascii="仿宋_GB2312" w:hAnsi="仿宋_GB2312" w:eastAsia="仿宋_GB2312" w:cs="仿宋_GB2312"/>
          <w:sz w:val="34"/>
          <w:szCs w:val="34"/>
        </w:rPr>
        <w:t>立足多党合作70多年的实践经验和理论成果，加强对习近平总书记关于坚持好、发展好、完善好中国新型政党制度的重要论述的研究阐释，努力讲清道理、讲明学理、讲透哲理，就如何构建一套系统完整、逻辑严密、科学规范的中国新型政党制度理论体系提出工作建议。梳理总结新时代中国新型政党制度的理论实践创新成果，围绕提升社会影响力和国际话语权，提出政策举措建议，为构建中国新型政党制度理论体系和话语体系提供理论政策支撑。</w:t>
      </w:r>
    </w:p>
    <w:p>
      <w:pPr>
        <w:overflowPunct w:val="0"/>
        <w:spacing w:line="560" w:lineRule="exact"/>
        <w:ind w:firstLine="703" w:firstLineChars="207"/>
        <w:rPr>
          <w:rFonts w:ascii="仿宋_GB2312" w:hAnsi="仿宋_GB2312" w:eastAsia="仿宋_GB2312" w:cs="仿宋_GB2312"/>
          <w:sz w:val="34"/>
          <w:szCs w:val="34"/>
        </w:rPr>
      </w:pPr>
      <w:r>
        <w:rPr>
          <w:rFonts w:hint="eastAsia" w:ascii="楷体_GB2312" w:hAnsi="楷体_GB2312" w:eastAsia="楷体_GB2312" w:cs="楷体_GB2312"/>
          <w:bCs/>
          <w:sz w:val="34"/>
          <w:szCs w:val="34"/>
        </w:rPr>
        <w:t>4.铸牢中华民族共同体意识理论研究。</w:t>
      </w:r>
      <w:r>
        <w:rPr>
          <w:rFonts w:hint="eastAsia" w:ascii="仿宋_GB2312" w:hAnsi="仿宋_GB2312" w:eastAsia="仿宋_GB2312" w:cs="仿宋_GB2312"/>
          <w:sz w:val="34"/>
          <w:szCs w:val="34"/>
        </w:rPr>
        <w:t>深化习近平总书记关于加强和改进民族工作的重要思想研究，从理论主题、体系框架、内在逻辑、概念范畴等方面作出系统性学理性阐发。加强构建中华民族共同体史料体系、话语体系、理论体系研究，深化中华民族共同体重大基础性问题研究。加强对铸牢中华民族共同体意识研究，深刻阐明其重大意义、科学内涵、精神实质、实践要求，针对民族地区的不同社会状况，研究提出有形有感有效落实铸牢中华民族共同体意识、破解民族工作实践中的重点难点问题的思路和举措，助推新时代党的民族工作高质量发展。</w:t>
      </w:r>
    </w:p>
    <w:p>
      <w:pPr>
        <w:overflowPunct w:val="0"/>
        <w:spacing w:line="560" w:lineRule="exact"/>
        <w:ind w:firstLine="703" w:firstLineChars="207"/>
        <w:rPr>
          <w:rFonts w:ascii="仿宋_GB2312" w:hAnsi="仿宋_GB2312" w:eastAsia="仿宋_GB2312" w:cs="仿宋_GB2312"/>
          <w:sz w:val="34"/>
          <w:szCs w:val="34"/>
        </w:rPr>
      </w:pPr>
      <w:r>
        <w:rPr>
          <w:rFonts w:hint="eastAsia" w:ascii="楷体_GB2312" w:hAnsi="楷体_GB2312" w:eastAsia="楷体_GB2312" w:cs="楷体_GB2312"/>
          <w:bCs/>
          <w:sz w:val="34"/>
          <w:szCs w:val="34"/>
        </w:rPr>
        <w:t>5.推进我国宗教中国化理论研究。</w:t>
      </w:r>
      <w:r>
        <w:rPr>
          <w:rFonts w:hint="eastAsia" w:ascii="仿宋_GB2312" w:hAnsi="仿宋_GB2312" w:eastAsia="仿宋_GB2312" w:cs="仿宋_GB2312"/>
          <w:sz w:val="34"/>
          <w:szCs w:val="34"/>
        </w:rPr>
        <w:t>推进我国宗教中国化理论与实践创新，深化重大基础性理论研究。围绕我国宗教中国化的历史过程、典型经验、学理依据、目标任务、实现路径等问题，在理论和实践上进一步破题，针对不同宗教的特点，研究提出如何把坚持我国宗教中国化的要求落到实处的思路举措，为推进我国宗教中国化提供理论支撑和实践路径。</w:t>
      </w:r>
    </w:p>
    <w:p>
      <w:pPr>
        <w:overflowPunct w:val="0"/>
        <w:spacing w:line="560" w:lineRule="exact"/>
        <w:ind w:firstLine="703" w:firstLineChars="207"/>
        <w:rPr>
          <w:rFonts w:ascii="仿宋_GB2312" w:hAnsi="仿宋_GB2312" w:eastAsia="仿宋_GB2312" w:cs="仿宋_GB2312"/>
          <w:sz w:val="34"/>
          <w:szCs w:val="34"/>
        </w:rPr>
      </w:pPr>
      <w:r>
        <w:rPr>
          <w:rFonts w:hint="eastAsia" w:ascii="楷体_GB2312" w:hAnsi="楷体_GB2312" w:eastAsia="楷体_GB2312" w:cs="楷体_GB2312"/>
          <w:bCs/>
          <w:sz w:val="34"/>
          <w:szCs w:val="34"/>
        </w:rPr>
        <w:t>6.新时代党外知识分子工作基础理论研究。</w:t>
      </w:r>
      <w:r>
        <w:rPr>
          <w:rFonts w:hint="eastAsia" w:ascii="仿宋_GB2312" w:hAnsi="仿宋_GB2312" w:eastAsia="仿宋_GB2312" w:cs="仿宋_GB2312"/>
          <w:sz w:val="34"/>
          <w:szCs w:val="34"/>
        </w:rPr>
        <w:t>研究梳理党的知识分子工作特别是党外知识分子工作理论、政策及实践的发展演变，党的十八大以来党外知识分子统战工作取得的主要理论和实践成果，新时代党外知识分子的内涵外延及群体特点，不同领域党外知识分子统战工作的有效举措和难点问题，“体制内”与“体制外”党外知识分子“组织起来”的共性和差异，提出加强和改进新时代党外知识分子统战工作的着力方向。</w:t>
      </w:r>
    </w:p>
    <w:p>
      <w:pPr>
        <w:overflowPunct w:val="0"/>
        <w:spacing w:line="560" w:lineRule="exact"/>
        <w:ind w:firstLine="703" w:firstLineChars="207"/>
        <w:rPr>
          <w:rFonts w:ascii="仿宋_GB2312" w:hAnsi="仿宋_GB2312" w:eastAsia="仿宋_GB2312" w:cs="仿宋_GB2312"/>
          <w:sz w:val="34"/>
          <w:szCs w:val="34"/>
        </w:rPr>
      </w:pPr>
      <w:r>
        <w:rPr>
          <w:rFonts w:hint="eastAsia" w:ascii="楷体_GB2312" w:hAnsi="楷体_GB2312" w:eastAsia="楷体_GB2312" w:cs="楷体_GB2312"/>
          <w:bCs/>
          <w:sz w:val="34"/>
          <w:szCs w:val="34"/>
        </w:rPr>
        <w:t>7.新的社会阶层人士联谊组织规范化建设研究。</w:t>
      </w:r>
      <w:r>
        <w:rPr>
          <w:rFonts w:hint="eastAsia" w:ascii="仿宋_GB2312" w:hAnsi="仿宋_GB2312" w:eastAsia="仿宋_GB2312" w:cs="仿宋_GB2312"/>
          <w:sz w:val="34"/>
          <w:szCs w:val="34"/>
        </w:rPr>
        <w:t>认识把握新的社会阶层人士联谊组织的政治定位，使之体现统战性、社会性、专业性的属性特点，研究联谊组织规范化建设的内涵、标准，总结各地在推进联谊组织规范化建设方面的主要做法和存在问题，提出相关工作建议。</w:t>
      </w:r>
    </w:p>
    <w:p>
      <w:pPr>
        <w:overflowPunct w:val="0"/>
        <w:spacing w:line="560" w:lineRule="exact"/>
        <w:ind w:firstLine="703" w:firstLineChars="207"/>
        <w:rPr>
          <w:rFonts w:ascii="仿宋_GB2312" w:hAnsi="仿宋_GB2312" w:eastAsia="仿宋_GB2312" w:cs="仿宋_GB2312"/>
          <w:sz w:val="34"/>
          <w:szCs w:val="34"/>
        </w:rPr>
      </w:pPr>
      <w:r>
        <w:rPr>
          <w:rFonts w:hint="eastAsia" w:ascii="楷体_GB2312" w:hAnsi="楷体_GB2312" w:eastAsia="楷体_GB2312" w:cs="楷体_GB2312"/>
          <w:bCs/>
          <w:sz w:val="34"/>
          <w:szCs w:val="34"/>
        </w:rPr>
        <w:t>8.推动全面构建亲清政商关系的研究。</w:t>
      </w:r>
      <w:r>
        <w:rPr>
          <w:rFonts w:hint="eastAsia" w:ascii="仿宋_GB2312" w:hAnsi="仿宋_GB2312" w:eastAsia="仿宋_GB2312" w:cs="仿宋_GB2312"/>
          <w:sz w:val="34"/>
          <w:szCs w:val="34"/>
        </w:rPr>
        <w:t>深入研究阐释习近平总书记关于构建亲清政商关系的重要论述，围绕促进“两个健康”，及时总结开展政企沟通的做法经验，不断深化对亲清统一的新型政商关系的认识，努力形成可推广、可操作的政策举措。</w:t>
      </w:r>
    </w:p>
    <w:p>
      <w:pPr>
        <w:overflowPunct w:val="0"/>
        <w:spacing w:line="560" w:lineRule="exact"/>
        <w:ind w:firstLine="703" w:firstLineChars="207"/>
        <w:rPr>
          <w:rFonts w:ascii="仿宋_GB2312" w:hAnsi="仿宋_GB2312" w:eastAsia="仿宋_GB2312" w:cs="仿宋_GB2312"/>
          <w:sz w:val="34"/>
          <w:szCs w:val="34"/>
        </w:rPr>
      </w:pPr>
      <w:r>
        <w:rPr>
          <w:rFonts w:hint="eastAsia" w:ascii="楷体_GB2312" w:hAnsi="楷体_GB2312" w:eastAsia="楷体_GB2312" w:cs="楷体_GB2312"/>
          <w:bCs/>
          <w:sz w:val="34"/>
          <w:szCs w:val="34"/>
        </w:rPr>
        <w:t>9.新时代高校统战工作研究。</w:t>
      </w:r>
      <w:r>
        <w:rPr>
          <w:rFonts w:hint="eastAsia" w:ascii="仿宋_GB2312" w:hAnsi="仿宋_GB2312" w:eastAsia="仿宋_GB2312" w:cs="仿宋_GB2312"/>
          <w:sz w:val="34"/>
          <w:szCs w:val="34"/>
        </w:rPr>
        <w:t>围绕落实党的统一战线工作和高等教育工作方针政策，聚焦强化高校党外人士思想政治引导，加强党外代表人士队伍建设，充分发挥党外知识分子作用，研究提出推动新时代高校统战工作创新发展的思路和举措。</w:t>
      </w:r>
    </w:p>
    <w:p>
      <w:pPr>
        <w:overflowPunct w:val="0"/>
        <w:spacing w:line="560" w:lineRule="exact"/>
        <w:ind w:firstLine="703" w:firstLineChars="207"/>
        <w:rPr>
          <w:rFonts w:ascii="仿宋_GB2312" w:hAnsi="仿宋_GB2312" w:eastAsia="仿宋_GB2312" w:cs="仿宋_GB2312"/>
          <w:sz w:val="34"/>
          <w:szCs w:val="34"/>
        </w:rPr>
      </w:pPr>
      <w:r>
        <w:rPr>
          <w:rFonts w:hint="eastAsia" w:ascii="楷体_GB2312" w:hAnsi="楷体_GB2312" w:eastAsia="楷体_GB2312" w:cs="楷体_GB2312"/>
          <w:bCs/>
          <w:sz w:val="34"/>
          <w:szCs w:val="34"/>
        </w:rPr>
        <w:t>10.网络统战工作研究。</w:t>
      </w:r>
      <w:r>
        <w:rPr>
          <w:rFonts w:hint="eastAsia" w:ascii="仿宋_GB2312" w:hAnsi="仿宋_GB2312" w:eastAsia="仿宋_GB2312" w:cs="仿宋_GB2312"/>
          <w:sz w:val="34"/>
          <w:szCs w:val="34"/>
        </w:rPr>
        <w:t>围绕互联网凝聚人心、争取人心、争夺人心，走好网上群众路线，研究提出在网络空间做好思想引领、团结凝聚工作的思路举措，为做好新时代网络统战工作提供理论政策支撑。</w:t>
      </w:r>
    </w:p>
    <w:p>
      <w:pPr>
        <w:overflowPunct w:val="0"/>
        <w:spacing w:line="560" w:lineRule="exact"/>
        <w:ind w:firstLine="703" w:firstLineChars="207"/>
        <w:rPr>
          <w:rFonts w:ascii="仿宋_GB2312" w:hAnsi="仿宋_GB2312" w:eastAsia="仿宋_GB2312" w:cs="仿宋_GB2312"/>
          <w:sz w:val="34"/>
          <w:szCs w:val="34"/>
        </w:rPr>
      </w:pPr>
      <w:r>
        <w:rPr>
          <w:rFonts w:hint="eastAsia" w:ascii="楷体_GB2312" w:hAnsi="楷体_GB2312" w:eastAsia="楷体_GB2312" w:cs="楷体_GB2312"/>
          <w:bCs/>
          <w:sz w:val="34"/>
          <w:szCs w:val="34"/>
        </w:rPr>
        <w:t>11.基层统战工作研究。</w:t>
      </w:r>
      <w:r>
        <w:rPr>
          <w:rFonts w:hint="eastAsia" w:ascii="仿宋_GB2312" w:hAnsi="仿宋_GB2312" w:eastAsia="仿宋_GB2312" w:cs="仿宋_GB2312"/>
          <w:sz w:val="34"/>
          <w:szCs w:val="34"/>
        </w:rPr>
        <w:t>重点围绕一体纳入基层党建和社会治理体系，发挥基层统战组织团结引导、服务发展等作用开展理论和政策研究，提出工作思路和具体举措，明确加强基层统战工作的着力点。</w:t>
      </w:r>
    </w:p>
    <w:p>
      <w:pPr>
        <w:widowControl/>
        <w:spacing w:line="560" w:lineRule="exact"/>
        <w:ind w:firstLine="680" w:firstLineChars="200"/>
        <w:jc w:val="left"/>
        <w:rPr>
          <w:rFonts w:ascii="仿宋_GB2312" w:hAnsi="仿宋_GB2312" w:eastAsia="仿宋_GB2312" w:cs="仿宋_GB2312"/>
          <w:sz w:val="34"/>
          <w:szCs w:val="34"/>
        </w:rPr>
      </w:pPr>
      <w:r>
        <w:rPr>
          <w:rFonts w:hint="eastAsia" w:ascii="楷体_GB2312" w:hAnsi="楷体_GB2312" w:eastAsia="楷体_GB2312" w:cs="楷体_GB2312"/>
          <w:bCs/>
          <w:sz w:val="34"/>
          <w:szCs w:val="34"/>
        </w:rPr>
        <w:t>12.统一战线为打好打赢三年行动攻坚之年攻坚之战集智聚力的调查与研究。</w:t>
      </w:r>
      <w:r>
        <w:rPr>
          <w:rFonts w:hint="eastAsia" w:ascii="仿宋_GB2312" w:hAnsi="仿宋_GB2312" w:eastAsia="仿宋_GB2312" w:cs="仿宋_GB2312"/>
          <w:sz w:val="34"/>
          <w:szCs w:val="34"/>
        </w:rPr>
        <w:t>学习习近平总书记关于东北、辽宁、大连振兴发展系列重要讲话和指示批示精神，紧扣打造新时代“六地”目标定位和大连市“六个建设”目标任务，发挥统战优势，找准工作定位，整合资源力量，推动统战工作更好紧贴大局、融入大局、服务大局，为全省统一战线服务全面振兴新突破三年行动、为</w:t>
      </w:r>
      <w:r>
        <w:rPr>
          <w:rFonts w:ascii="仿宋_GB2312" w:hAnsi="仿宋_GB2312" w:eastAsia="仿宋_GB2312" w:cs="仿宋_GB2312"/>
          <w:sz w:val="34"/>
          <w:szCs w:val="34"/>
        </w:rPr>
        <w:t>推动大连“两先区”“三个中心”高质量发展</w:t>
      </w:r>
      <w:r>
        <w:rPr>
          <w:rFonts w:hint="eastAsia" w:ascii="仿宋_GB2312" w:hAnsi="仿宋_GB2312" w:eastAsia="仿宋_GB2312" w:cs="仿宋_GB2312"/>
          <w:sz w:val="34"/>
          <w:szCs w:val="34"/>
        </w:rPr>
        <w:t>提供理论支撑和实践路径。</w:t>
      </w:r>
    </w:p>
    <w:p>
      <w:pPr>
        <w:overflowPunct w:val="0"/>
        <w:spacing w:line="560" w:lineRule="exact"/>
        <w:ind w:firstLine="703" w:firstLineChars="207"/>
        <w:rPr>
          <w:sz w:val="34"/>
          <w:szCs w:val="34"/>
        </w:rPr>
      </w:pPr>
      <w:r>
        <w:rPr>
          <w:rFonts w:hint="eastAsia" w:ascii="仿宋_GB2312" w:hAnsi="仿宋_GB2312" w:eastAsia="仿宋_GB2312" w:cs="仿宋_GB2312"/>
          <w:sz w:val="34"/>
          <w:szCs w:val="34"/>
        </w:rPr>
        <w:t>13.新时代新征程统一战线强大法宝作用功能研究。</w:t>
      </w:r>
    </w:p>
    <w:p>
      <w:pPr>
        <w:overflowPunct w:val="0"/>
        <w:spacing w:line="560" w:lineRule="exact"/>
        <w:ind w:firstLine="703" w:firstLineChars="207"/>
        <w:rPr>
          <w:sz w:val="34"/>
          <w:szCs w:val="34"/>
        </w:rPr>
      </w:pPr>
      <w:r>
        <w:rPr>
          <w:rFonts w:hint="eastAsia" w:ascii="仿宋_GB2312" w:hAnsi="仿宋_GB2312" w:eastAsia="仿宋_GB2312" w:cs="仿宋_GB2312"/>
          <w:sz w:val="34"/>
          <w:szCs w:val="34"/>
        </w:rPr>
        <w:t>14.关于民主党派基层组织建设的研究。</w:t>
      </w:r>
    </w:p>
    <w:p>
      <w:pPr>
        <w:overflowPunct w:val="0"/>
        <w:spacing w:line="560" w:lineRule="exact"/>
        <w:ind w:firstLine="703" w:firstLineChars="207"/>
        <w:rPr>
          <w:rFonts w:ascii="仿宋_GB2312" w:hAnsi="仿宋_GB2312" w:eastAsia="仿宋_GB2312" w:cs="仿宋_GB2312"/>
          <w:sz w:val="34"/>
          <w:szCs w:val="34"/>
        </w:rPr>
      </w:pPr>
      <w:r>
        <w:rPr>
          <w:rFonts w:hint="eastAsia" w:ascii="仿宋_GB2312" w:hAnsi="仿宋_GB2312" w:eastAsia="仿宋_GB2312" w:cs="仿宋_GB2312"/>
          <w:sz w:val="34"/>
          <w:szCs w:val="34"/>
        </w:rPr>
        <w:t>15.构建多民族互嵌式社会结构和社区环境研究。</w:t>
      </w:r>
    </w:p>
    <w:p>
      <w:pPr>
        <w:overflowPunct w:val="0"/>
        <w:spacing w:line="560" w:lineRule="exact"/>
        <w:ind w:firstLine="703" w:firstLineChars="207"/>
        <w:rPr>
          <w:rFonts w:ascii="仿宋_GB2312" w:hAnsi="仿宋_GB2312" w:eastAsia="仿宋_GB2312" w:cs="仿宋_GB2312"/>
          <w:sz w:val="34"/>
          <w:szCs w:val="34"/>
        </w:rPr>
      </w:pPr>
      <w:r>
        <w:rPr>
          <w:rFonts w:hint="eastAsia" w:ascii="仿宋_GB2312" w:hAnsi="仿宋_GB2312" w:eastAsia="仿宋_GB2312" w:cs="仿宋_GB2312"/>
          <w:sz w:val="34"/>
          <w:szCs w:val="34"/>
        </w:rPr>
        <w:t>16.助力民族自治县高质量发展调研。</w:t>
      </w:r>
    </w:p>
    <w:p>
      <w:pPr>
        <w:overflowPunct w:val="0"/>
        <w:spacing w:line="560" w:lineRule="exact"/>
        <w:ind w:firstLine="703" w:firstLineChars="207"/>
        <w:rPr>
          <w:rFonts w:ascii="仿宋_GB2312" w:hAnsi="仿宋_GB2312" w:eastAsia="仿宋_GB2312" w:cs="仿宋_GB2312"/>
          <w:sz w:val="34"/>
          <w:szCs w:val="34"/>
        </w:rPr>
      </w:pPr>
      <w:r>
        <w:rPr>
          <w:rFonts w:hint="eastAsia" w:ascii="仿宋_GB2312" w:hAnsi="仿宋_GB2312" w:eastAsia="仿宋_GB2312" w:cs="仿宋_GB2312"/>
          <w:sz w:val="34"/>
          <w:szCs w:val="34"/>
        </w:rPr>
        <w:t>17.基层宗教联合执法工作研究。</w:t>
      </w:r>
    </w:p>
    <w:p>
      <w:pPr>
        <w:overflowPunct w:val="0"/>
        <w:spacing w:line="560" w:lineRule="exact"/>
        <w:ind w:firstLine="703" w:firstLineChars="207"/>
        <w:rPr>
          <w:rFonts w:ascii="仿宋_GB2312" w:hAnsi="仿宋_GB2312" w:eastAsia="仿宋_GB2312" w:cs="仿宋_GB2312"/>
          <w:sz w:val="34"/>
          <w:szCs w:val="34"/>
        </w:rPr>
      </w:pPr>
      <w:r>
        <w:rPr>
          <w:rFonts w:hint="eastAsia" w:ascii="仿宋_GB2312" w:hAnsi="仿宋_GB2312" w:eastAsia="仿宋_GB2312" w:cs="仿宋_GB2312"/>
          <w:sz w:val="34"/>
          <w:szCs w:val="34"/>
        </w:rPr>
        <w:t>18.落实三级宗教工作网络和两级责任制研究。</w:t>
      </w:r>
    </w:p>
    <w:p>
      <w:pPr>
        <w:overflowPunct w:val="0"/>
        <w:spacing w:line="560" w:lineRule="exact"/>
        <w:ind w:firstLine="703" w:firstLineChars="207"/>
        <w:rPr>
          <w:rFonts w:ascii="仿宋_GB2312" w:hAnsi="仿宋_GB2312" w:eastAsia="仿宋_GB2312" w:cs="仿宋_GB2312"/>
          <w:sz w:val="34"/>
          <w:szCs w:val="34"/>
        </w:rPr>
      </w:pPr>
      <w:r>
        <w:rPr>
          <w:rFonts w:hint="eastAsia" w:ascii="仿宋_GB2312" w:hAnsi="仿宋_GB2312" w:eastAsia="仿宋_GB2312" w:cs="仿宋_GB2312"/>
          <w:sz w:val="34"/>
          <w:szCs w:val="34"/>
        </w:rPr>
        <w:t>19.社会组织从业人员统战工作研究。</w:t>
      </w:r>
    </w:p>
    <w:p>
      <w:pPr>
        <w:overflowPunct w:val="0"/>
        <w:spacing w:line="560" w:lineRule="exact"/>
        <w:ind w:firstLine="703" w:firstLineChars="207"/>
        <w:rPr>
          <w:rFonts w:ascii="仿宋_GB2312" w:hAnsi="仿宋_GB2312" w:eastAsia="仿宋_GB2312" w:cs="仿宋_GB2312"/>
          <w:sz w:val="34"/>
          <w:szCs w:val="34"/>
        </w:rPr>
      </w:pPr>
      <w:r>
        <w:rPr>
          <w:rFonts w:hint="eastAsia" w:ascii="仿宋_GB2312" w:hAnsi="仿宋_GB2312" w:eastAsia="仿宋_GB2312" w:cs="仿宋_GB2312"/>
          <w:sz w:val="34"/>
          <w:szCs w:val="34"/>
        </w:rPr>
        <w:t>20.加强新时代工商联自身建设研究。</w:t>
      </w:r>
    </w:p>
    <w:p>
      <w:pPr>
        <w:overflowPunct w:val="0"/>
        <w:spacing w:line="560" w:lineRule="exact"/>
        <w:ind w:firstLine="703" w:firstLineChars="207"/>
        <w:rPr>
          <w:rFonts w:ascii="仿宋_GB2312" w:hAnsi="仿宋_GB2312" w:eastAsia="仿宋_GB2312" w:cs="仿宋_GB2312"/>
          <w:sz w:val="34"/>
          <w:szCs w:val="34"/>
        </w:rPr>
      </w:pPr>
      <w:r>
        <w:rPr>
          <w:rFonts w:hint="eastAsia" w:ascii="仿宋_GB2312" w:hAnsi="仿宋_GB2312" w:eastAsia="仿宋_GB2312" w:cs="仿宋_GB2312"/>
          <w:sz w:val="34"/>
          <w:szCs w:val="34"/>
        </w:rPr>
        <w:t>21.海外联谊会工作规范化研究。</w:t>
      </w:r>
    </w:p>
    <w:p>
      <w:pPr>
        <w:overflowPunct w:val="0"/>
        <w:spacing w:line="560" w:lineRule="exact"/>
        <w:ind w:firstLine="703" w:firstLineChars="207"/>
        <w:rPr>
          <w:rFonts w:ascii="仿宋_GB2312" w:hAnsi="仿宋_GB2312" w:eastAsia="仿宋_GB2312" w:cs="仿宋_GB2312"/>
          <w:sz w:val="34"/>
          <w:szCs w:val="34"/>
        </w:rPr>
      </w:pPr>
      <w:r>
        <w:rPr>
          <w:rFonts w:hint="eastAsia" w:ascii="仿宋_GB2312" w:hAnsi="仿宋_GB2312" w:eastAsia="仿宋_GB2312" w:cs="仿宋_GB2312"/>
          <w:sz w:val="34"/>
          <w:szCs w:val="34"/>
        </w:rPr>
        <w:t>22.为侨服务工作体系研究。</w:t>
      </w:r>
    </w:p>
    <w:p>
      <w:pPr>
        <w:overflowPunct w:val="0"/>
        <w:spacing w:line="560" w:lineRule="exact"/>
        <w:ind w:firstLine="703" w:firstLineChars="207"/>
        <w:rPr>
          <w:rFonts w:ascii="黑体" w:hAnsi="黑体" w:eastAsia="黑体"/>
          <w:sz w:val="34"/>
          <w:szCs w:val="34"/>
        </w:rPr>
      </w:pPr>
      <w:r>
        <w:rPr>
          <w:rFonts w:hint="eastAsia" w:ascii="仿宋_GB2312" w:hAnsi="仿宋_GB2312" w:eastAsia="仿宋_GB2312" w:cs="仿宋_GB2312"/>
          <w:sz w:val="34"/>
          <w:szCs w:val="34"/>
        </w:rPr>
        <w:t>23.加强新时代华裔新生代工作研究。</w:t>
      </w:r>
    </w:p>
    <w:p>
      <w:pPr>
        <w:overflowPunct w:val="0"/>
        <w:spacing w:line="560" w:lineRule="exact"/>
        <w:ind w:firstLine="703" w:firstLineChars="207"/>
        <w:rPr>
          <w:sz w:val="34"/>
          <w:szCs w:val="34"/>
        </w:rPr>
      </w:pPr>
      <w:r>
        <w:rPr>
          <w:rFonts w:hint="eastAsia" w:ascii="仿宋_GB2312" w:hAnsi="仿宋_GB2312" w:eastAsia="仿宋_GB2312" w:cs="仿宋_GB2312"/>
          <w:sz w:val="34"/>
          <w:szCs w:val="34"/>
        </w:rPr>
        <w:t>24.高校留学人员组织建设及作用发挥情况研究。</w:t>
      </w:r>
    </w:p>
    <w:p>
      <w:pPr>
        <w:overflowPunct w:val="0"/>
        <w:spacing w:line="560" w:lineRule="exact"/>
        <w:ind w:firstLine="703" w:firstLineChars="207"/>
        <w:rPr>
          <w:sz w:val="34"/>
          <w:szCs w:val="34"/>
        </w:rPr>
      </w:pPr>
      <w:r>
        <w:rPr>
          <w:rFonts w:hint="eastAsia" w:ascii="仿宋_GB2312" w:hAnsi="仿宋_GB2312" w:eastAsia="仿宋_GB2312" w:cs="仿宋_GB2312"/>
          <w:sz w:val="34"/>
          <w:szCs w:val="34"/>
        </w:rPr>
        <w:t>25.加强党外代表人士队伍建设研究。</w:t>
      </w:r>
    </w:p>
    <w:p>
      <w:pPr>
        <w:overflowPunct w:val="0"/>
        <w:spacing w:line="560" w:lineRule="exact"/>
        <w:ind w:firstLine="703" w:firstLineChars="207"/>
        <w:rPr>
          <w:sz w:val="34"/>
          <w:szCs w:val="34"/>
        </w:rPr>
      </w:pPr>
      <w:r>
        <w:rPr>
          <w:rFonts w:hint="eastAsia" w:ascii="仿宋_GB2312" w:hAnsi="仿宋_GB2312" w:eastAsia="仿宋_GB2312" w:cs="仿宋_GB2312"/>
          <w:sz w:val="34"/>
          <w:szCs w:val="34"/>
        </w:rPr>
        <w:t>26.建立健全统战工作衡量标准和评价体系研究。</w:t>
      </w:r>
    </w:p>
    <w:p>
      <w:pPr>
        <w:overflowPunct w:val="0"/>
        <w:spacing w:line="560" w:lineRule="exact"/>
        <w:ind w:firstLine="703" w:firstLineChars="207"/>
        <w:rPr>
          <w:rFonts w:ascii="仿宋_GB2312" w:hAnsi="仿宋_GB2312" w:eastAsia="仿宋_GB2312" w:cs="仿宋_GB2312"/>
          <w:sz w:val="34"/>
          <w:szCs w:val="34"/>
        </w:rPr>
      </w:pPr>
      <w:r>
        <w:rPr>
          <w:rFonts w:hint="eastAsia" w:ascii="仿宋_GB2312" w:hAnsi="仿宋_GB2312" w:eastAsia="仿宋_GB2312" w:cs="仿宋_GB2312"/>
          <w:sz w:val="34"/>
          <w:szCs w:val="34"/>
        </w:rPr>
        <w:t>27.统战工作面临的外部环境及风险挑战研究。</w:t>
      </w:r>
    </w:p>
    <w:p>
      <w:pPr>
        <w:spacing w:line="560" w:lineRule="exact"/>
        <w:ind w:firstLine="680" w:firstLineChars="200"/>
        <w:rPr>
          <w:rFonts w:ascii="黑体" w:hAnsi="黑体" w:eastAsia="黑体"/>
          <w:sz w:val="34"/>
          <w:szCs w:val="34"/>
        </w:rPr>
      </w:pPr>
      <w:r>
        <w:rPr>
          <w:rFonts w:hint="eastAsia" w:ascii="黑体" w:hAnsi="黑体" w:eastAsia="黑体"/>
          <w:sz w:val="34"/>
          <w:szCs w:val="34"/>
        </w:rPr>
        <w:t>三、主要工作安排</w:t>
      </w:r>
    </w:p>
    <w:p>
      <w:pPr>
        <w:spacing w:line="560" w:lineRule="exact"/>
        <w:ind w:firstLine="683" w:firstLineChars="200"/>
        <w:rPr>
          <w:rFonts w:ascii="仿宋_GB2312" w:hAnsi="仿宋" w:eastAsia="仿宋_GB2312" w:cs="仿宋"/>
          <w:sz w:val="34"/>
          <w:szCs w:val="34"/>
        </w:rPr>
      </w:pPr>
      <w:r>
        <w:rPr>
          <w:rFonts w:hint="eastAsia" w:ascii="仿宋_GB2312" w:hAnsi="仿宋" w:eastAsia="仿宋_GB2312" w:cs="仿宋"/>
          <w:b/>
          <w:sz w:val="34"/>
          <w:szCs w:val="34"/>
        </w:rPr>
        <w:t>1.明确选题，组织申报。</w:t>
      </w:r>
      <w:r>
        <w:rPr>
          <w:rFonts w:hint="eastAsia" w:ascii="仿宋_GB2312" w:hAnsi="仿宋" w:eastAsia="仿宋_GB2312" w:cs="仿宋"/>
          <w:sz w:val="34"/>
          <w:szCs w:val="34"/>
        </w:rPr>
        <w:t>应注意以上27项选题方向仅供参考，各地区各单位不必拘泥于原题，而要根据以上主要选题方向，结合实际和研究专长自行选择研究的切入点，创新研究方向，科学设计研究题目。其中，</w:t>
      </w:r>
      <w:r>
        <w:rPr>
          <w:rFonts w:hint="eastAsia" w:ascii="仿宋_GB2312" w:hAnsi="仿宋" w:eastAsia="仿宋_GB2312" w:cs="仿宋"/>
          <w:b/>
          <w:sz w:val="34"/>
          <w:szCs w:val="34"/>
        </w:rPr>
        <w:t>大连市委统战部各处室、基层统战部门和统战系统各单位着重从政策性和举措性层面开展调查研究，高等学校、科研院所的专家学者着重开展基础性和理论性研究。</w:t>
      </w:r>
      <w:r>
        <w:rPr>
          <w:rFonts w:hint="eastAsia" w:ascii="仿宋_GB2312" w:hAnsi="仿宋" w:eastAsia="仿宋_GB2312" w:cs="仿宋"/>
          <w:sz w:val="34"/>
          <w:szCs w:val="34"/>
        </w:rPr>
        <w:t>为便于申报时科学设计研究题目，特附2023年度全市统战理论政策研究创新成果一等奖篇目，为设计选题提供借鉴。</w:t>
      </w:r>
    </w:p>
    <w:p>
      <w:pPr>
        <w:spacing w:line="560" w:lineRule="exact"/>
        <w:ind w:firstLine="683" w:firstLineChars="200"/>
        <w:rPr>
          <w:rFonts w:ascii="仿宋_GB2312" w:hAnsi="仿宋" w:eastAsia="仿宋_GB2312" w:cs="仿宋"/>
          <w:b/>
          <w:color w:val="6650EA"/>
          <w:sz w:val="34"/>
          <w:szCs w:val="34"/>
        </w:rPr>
      </w:pPr>
      <w:r>
        <w:rPr>
          <w:rFonts w:hint="eastAsia" w:ascii="仿宋_GB2312" w:hAnsi="仿宋" w:eastAsia="仿宋_GB2312" w:cs="仿宋"/>
          <w:b/>
          <w:sz w:val="34"/>
          <w:szCs w:val="34"/>
        </w:rPr>
        <w:t>2.重点推荐，确定立项</w:t>
      </w:r>
      <w:r>
        <w:rPr>
          <w:rFonts w:hint="eastAsia" w:ascii="仿宋_GB2312" w:hAnsi="仿宋" w:eastAsia="仿宋_GB2312" w:cs="仿宋"/>
          <w:sz w:val="34"/>
          <w:szCs w:val="34"/>
        </w:rPr>
        <w:t>。</w:t>
      </w:r>
      <w:r>
        <w:rPr>
          <w:rFonts w:hint="eastAsia" w:ascii="仿宋_GB2312" w:hAnsi="仿宋" w:eastAsia="仿宋_GB2312" w:cs="仿宋"/>
          <w:b/>
          <w:color w:val="6650EA"/>
          <w:sz w:val="34"/>
          <w:szCs w:val="34"/>
        </w:rPr>
        <w:t>为进一步提高课题研究质量，市委统战部届时将根据课题立项情况，选取个别重点课题作为社会招标课题，给与课题经费资助奖励。</w:t>
      </w:r>
    </w:p>
    <w:p>
      <w:pPr>
        <w:spacing w:line="560" w:lineRule="exact"/>
        <w:ind w:firstLine="683" w:firstLineChars="200"/>
        <w:rPr>
          <w:rFonts w:ascii="仿宋_GB2312" w:hAnsi="仿宋" w:eastAsia="仿宋_GB2312" w:cs="仿宋"/>
          <w:sz w:val="34"/>
          <w:szCs w:val="34"/>
        </w:rPr>
      </w:pPr>
      <w:r>
        <w:rPr>
          <w:rFonts w:hint="eastAsia" w:ascii="仿宋_GB2312" w:hAnsi="仿宋" w:eastAsia="仿宋_GB2312" w:cs="仿宋"/>
          <w:b/>
          <w:sz w:val="34"/>
          <w:szCs w:val="34"/>
        </w:rPr>
        <w:t>3.中期推动，加强指导。</w:t>
      </w:r>
      <w:r>
        <w:rPr>
          <w:rFonts w:hint="eastAsia" w:ascii="仿宋_GB2312" w:hAnsi="仿宋" w:eastAsia="仿宋_GB2312" w:cs="仿宋"/>
          <w:sz w:val="34"/>
          <w:szCs w:val="34"/>
        </w:rPr>
        <w:t>立项课题确定后，各课题组要按照研究思路，认真开展调查研究，积极撰写课题报告，市委统战部与市社科联将积极开展中期推动工作，适时召开中期推动会，加强课题指导。</w:t>
      </w:r>
    </w:p>
    <w:p>
      <w:pPr>
        <w:spacing w:line="560" w:lineRule="exact"/>
        <w:ind w:firstLine="683" w:firstLineChars="200"/>
        <w:rPr>
          <w:rFonts w:ascii="仿宋_GB2312" w:hAnsi="仿宋" w:eastAsia="仿宋_GB2312" w:cs="仿宋"/>
          <w:sz w:val="34"/>
          <w:szCs w:val="34"/>
        </w:rPr>
      </w:pPr>
      <w:r>
        <w:rPr>
          <w:rFonts w:hint="eastAsia" w:ascii="仿宋_GB2312" w:hAnsi="仿宋" w:eastAsia="仿宋_GB2312" w:cs="仿宋"/>
          <w:b/>
          <w:sz w:val="34"/>
          <w:szCs w:val="34"/>
        </w:rPr>
        <w:t>4.年终评审，验收结项。</w:t>
      </w:r>
      <w:r>
        <w:rPr>
          <w:rFonts w:hint="eastAsia" w:ascii="仿宋_GB2312" w:hAnsi="仿宋" w:eastAsia="仿宋_GB2312" w:cs="仿宋"/>
          <w:sz w:val="34"/>
          <w:szCs w:val="34"/>
        </w:rPr>
        <w:t>市委统战部和市社科联组织结项评审验收和优秀成果评选表彰活动，对其中有价值的优秀成果按照相关规定给予一定经费奖励。市委统战部将继续开展年度全市统战理论研究优秀成果评选工作（除立项课题外，各地区各单位可再行报送1至2项课题参加全市评选，年初未立项课题经深化研究形成成果后也可再次报送）。</w:t>
      </w:r>
    </w:p>
    <w:p>
      <w:pPr>
        <w:spacing w:line="560" w:lineRule="exact"/>
        <w:ind w:firstLine="680" w:firstLineChars="200"/>
        <w:rPr>
          <w:rFonts w:ascii="黑体" w:hAnsi="黑体" w:eastAsia="黑体"/>
          <w:sz w:val="34"/>
          <w:szCs w:val="34"/>
        </w:rPr>
      </w:pPr>
      <w:r>
        <w:rPr>
          <w:rFonts w:hint="eastAsia" w:ascii="黑体" w:hAnsi="黑体" w:eastAsia="黑体"/>
          <w:sz w:val="34"/>
          <w:szCs w:val="34"/>
        </w:rPr>
        <w:t>四、具体工作要求</w:t>
      </w:r>
    </w:p>
    <w:p>
      <w:pPr>
        <w:spacing w:line="560" w:lineRule="exact"/>
        <w:ind w:firstLine="683" w:firstLineChars="200"/>
        <w:rPr>
          <w:rFonts w:ascii="仿宋_GB2312" w:hAnsi="宋体" w:eastAsia="仿宋_GB2312"/>
          <w:b/>
          <w:sz w:val="34"/>
          <w:szCs w:val="34"/>
        </w:rPr>
      </w:pPr>
      <w:r>
        <w:rPr>
          <w:rFonts w:hint="eastAsia" w:ascii="仿宋_GB2312" w:hAnsi="宋体" w:eastAsia="仿宋_GB2312"/>
          <w:b/>
          <w:sz w:val="34"/>
          <w:szCs w:val="34"/>
        </w:rPr>
        <w:t>1.申报立项材料要求。</w:t>
      </w:r>
      <w:r>
        <w:rPr>
          <w:rFonts w:hint="eastAsia" w:ascii="仿宋_GB2312" w:hAnsi="宋体" w:eastAsia="仿宋_GB2312"/>
          <w:sz w:val="34"/>
          <w:szCs w:val="34"/>
        </w:rPr>
        <w:t>各地区各单位要认真组织申报工作，申报市委统战部立项课题，需填写《大连市统战理论研究立项课题申请书》，并在汇总后填写《2024年大连市统战理论研究申请立项课题篇目汇总表》（格式见附件）。</w:t>
      </w:r>
    </w:p>
    <w:p>
      <w:pPr>
        <w:spacing w:line="560" w:lineRule="exact"/>
        <w:ind w:firstLine="683" w:firstLineChars="200"/>
        <w:rPr>
          <w:rFonts w:ascii="仿宋_GB2312" w:hAnsi="仿宋" w:eastAsia="仿宋_GB2312" w:cs="仿宋"/>
          <w:sz w:val="34"/>
          <w:szCs w:val="34"/>
        </w:rPr>
      </w:pPr>
      <w:r>
        <w:rPr>
          <w:rFonts w:hint="eastAsia" w:ascii="仿宋_GB2312" w:hAnsi="宋体" w:eastAsia="仿宋_GB2312"/>
          <w:b/>
          <w:sz w:val="34"/>
          <w:szCs w:val="34"/>
          <w:lang w:val="en-US" w:eastAsia="zh-CN"/>
        </w:rPr>
        <w:t xml:space="preserve"> 2</w:t>
      </w:r>
      <w:r>
        <w:rPr>
          <w:rFonts w:hint="eastAsia" w:ascii="仿宋_GB2312" w:hAnsi="仿宋" w:eastAsia="仿宋_GB2312" w:cs="仿宋"/>
          <w:b/>
          <w:bCs/>
          <w:sz w:val="34"/>
          <w:szCs w:val="34"/>
        </w:rPr>
        <w:t>.研究成果上报要求。</w:t>
      </w:r>
      <w:r>
        <w:rPr>
          <w:rFonts w:hint="eastAsia" w:ascii="仿宋_GB2312" w:hAnsi="仿宋" w:eastAsia="仿宋_GB2312" w:cs="仿宋"/>
          <w:sz w:val="34"/>
          <w:szCs w:val="34"/>
        </w:rPr>
        <w:t>研究成果成熟一个报送一个，市立项课题</w:t>
      </w:r>
      <w:r>
        <w:rPr>
          <w:rFonts w:hint="eastAsia" w:ascii="仿宋_GB2312" w:hAnsi="仿宋" w:eastAsia="仿宋_GB2312" w:cs="仿宋"/>
          <w:b/>
          <w:sz w:val="34"/>
          <w:szCs w:val="34"/>
        </w:rPr>
        <w:t>初稿在7月末报送</w:t>
      </w:r>
      <w:r>
        <w:rPr>
          <w:rFonts w:hint="eastAsia" w:ascii="仿宋_GB2312" w:hAnsi="仿宋" w:eastAsia="仿宋_GB2312" w:cs="仿宋"/>
          <w:sz w:val="34"/>
          <w:szCs w:val="34"/>
        </w:rPr>
        <w:t>，</w:t>
      </w:r>
      <w:r>
        <w:rPr>
          <w:rFonts w:hint="eastAsia" w:ascii="仿宋_GB2312" w:hAnsi="仿宋" w:eastAsia="仿宋_GB2312" w:cs="仿宋"/>
          <w:b/>
          <w:sz w:val="34"/>
          <w:szCs w:val="34"/>
        </w:rPr>
        <w:t>终稿最迟在10月末报送</w:t>
      </w:r>
      <w:r>
        <w:rPr>
          <w:rFonts w:hint="eastAsia" w:ascii="仿宋_GB2312" w:hAnsi="仿宋" w:eastAsia="仿宋_GB2312" w:cs="仿宋"/>
          <w:sz w:val="34"/>
          <w:szCs w:val="34"/>
        </w:rPr>
        <w:t>。同时，为了进一步提高论文质量，各组织申报单位在报送论文初稿和终稿前，要对论文进行重复率检验，并将检验结果加盖单位公章后随同初稿和终稿纸质版一同报送。初稿和终稿报送的具体时间及格式要求另行通知。</w:t>
      </w:r>
    </w:p>
    <w:p>
      <w:pPr>
        <w:jc w:val="left"/>
        <w:rPr>
          <w:rFonts w:ascii="黑体" w:eastAsia="黑体"/>
          <w:sz w:val="32"/>
          <w:szCs w:val="32"/>
        </w:rPr>
      </w:pPr>
    </w:p>
    <w:p>
      <w:pPr>
        <w:jc w:val="left"/>
        <w:rPr>
          <w:rFonts w:ascii="黑体" w:eastAsia="黑体"/>
          <w:sz w:val="32"/>
          <w:szCs w:val="32"/>
        </w:rPr>
      </w:pPr>
    </w:p>
    <w:p>
      <w:pPr>
        <w:jc w:val="left"/>
        <w:rPr>
          <w:rFonts w:ascii="黑体" w:eastAsia="黑体"/>
          <w:sz w:val="32"/>
          <w:szCs w:val="32"/>
        </w:rPr>
      </w:pPr>
    </w:p>
    <w:p>
      <w:pPr>
        <w:jc w:val="left"/>
        <w:rPr>
          <w:rFonts w:ascii="黑体" w:eastAsia="黑体"/>
          <w:sz w:val="32"/>
          <w:szCs w:val="32"/>
        </w:rPr>
      </w:pPr>
    </w:p>
    <w:p>
      <w:pPr>
        <w:jc w:val="left"/>
        <w:rPr>
          <w:rFonts w:ascii="黑体" w:eastAsia="黑体"/>
          <w:sz w:val="32"/>
          <w:szCs w:val="32"/>
        </w:rPr>
      </w:pPr>
    </w:p>
    <w:p>
      <w:pPr>
        <w:jc w:val="left"/>
        <w:rPr>
          <w:rFonts w:ascii="黑体" w:hAnsi="黑体" w:eastAsia="黑体"/>
          <w:sz w:val="44"/>
          <w:szCs w:val="44"/>
        </w:rPr>
      </w:pPr>
      <w:bookmarkStart w:id="0" w:name="_GoBack"/>
      <w:bookmarkEnd w:id="0"/>
      <w:r>
        <w:rPr>
          <w:rFonts w:hint="eastAsia" w:ascii="黑体" w:eastAsia="黑体"/>
          <w:sz w:val="32"/>
          <w:szCs w:val="32"/>
        </w:rPr>
        <w:t>附件3</w:t>
      </w:r>
    </w:p>
    <w:p>
      <w:pPr>
        <w:spacing w:line="600" w:lineRule="exact"/>
        <w:jc w:val="center"/>
        <w:rPr>
          <w:rFonts w:ascii="宋体" w:hAnsi="宋体" w:cs="宋体"/>
          <w:b/>
          <w:bCs/>
          <w:sz w:val="44"/>
          <w:szCs w:val="44"/>
        </w:rPr>
      </w:pPr>
      <w:r>
        <w:rPr>
          <w:rFonts w:hint="eastAsia" w:ascii="宋体" w:hAnsi="宋体" w:cs="宋体"/>
          <w:b/>
          <w:bCs/>
          <w:sz w:val="44"/>
          <w:szCs w:val="44"/>
        </w:rPr>
        <w:t>2023年度全市统战理论政策</w:t>
      </w:r>
    </w:p>
    <w:p>
      <w:pPr>
        <w:spacing w:line="600" w:lineRule="exact"/>
        <w:jc w:val="center"/>
        <w:rPr>
          <w:rFonts w:ascii="宋体" w:hAnsi="宋体" w:cs="宋体"/>
          <w:b/>
          <w:bCs/>
          <w:sz w:val="44"/>
          <w:szCs w:val="44"/>
        </w:rPr>
      </w:pPr>
      <w:r>
        <w:rPr>
          <w:rFonts w:hint="eastAsia" w:ascii="宋体" w:hAnsi="宋体" w:cs="宋体"/>
          <w:b/>
          <w:bCs/>
          <w:sz w:val="44"/>
          <w:szCs w:val="44"/>
        </w:rPr>
        <w:t>研究创新成果一等奖篇目（共10篇）</w:t>
      </w:r>
    </w:p>
    <w:p>
      <w:pPr>
        <w:overflowPunct w:val="0"/>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1.中国新型政党制度的内在机理、独特优势及实践进路</w:t>
      </w:r>
    </w:p>
    <w:p>
      <w:pPr>
        <w:overflowPunct w:val="0"/>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2.坚持和加强党对多党合作全面领导的路径研究 </w:t>
      </w:r>
    </w:p>
    <w:p>
      <w:pPr>
        <w:overflowPunct w:val="0"/>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3.元宇宙赋能铸牢中华民族共同体意识发展路径研究</w:t>
      </w:r>
    </w:p>
    <w:p>
      <w:pPr>
        <w:overflowPunct w:val="0"/>
        <w:ind w:firstLine="640" w:firstLineChars="200"/>
        <w:rPr>
          <w:rFonts w:ascii="仿宋_GB2312" w:hAnsi="仿宋_GB2312" w:eastAsia="仿宋_GB2312" w:cs="仿宋_GB2312"/>
          <w:color w:val="000000"/>
          <w:kern w:val="0"/>
          <w:sz w:val="32"/>
        </w:rPr>
      </w:pPr>
      <w:r>
        <w:rPr>
          <w:rFonts w:hint="eastAsia" w:ascii="仿宋_GB2312" w:hAnsi="仿宋_GB2312" w:eastAsia="仿宋_GB2312" w:cs="仿宋_GB2312"/>
          <w:color w:val="000000"/>
          <w:sz w:val="32"/>
        </w:rPr>
        <w:t>4.</w:t>
      </w:r>
      <w:r>
        <w:rPr>
          <w:rFonts w:hint="eastAsia" w:ascii="仿宋_GB2312" w:hAnsi="仿宋_GB2312" w:eastAsia="仿宋_GB2312" w:cs="仿宋_GB2312"/>
          <w:color w:val="000000"/>
          <w:kern w:val="0"/>
          <w:sz w:val="32"/>
        </w:rPr>
        <w:t>化认同视域下青年学生中华民族共同体意识的培育路径研究</w:t>
      </w:r>
    </w:p>
    <w:p>
      <w:pPr>
        <w:overflowPunct w:val="0"/>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sz w:val="32"/>
        </w:rPr>
        <w:t>5.新时代高校党外知识分子群体特征及工作对策研究</w:t>
      </w:r>
    </w:p>
    <w:p>
      <w:pPr>
        <w:overflowPunct w:val="0"/>
        <w:spacing w:line="360" w:lineRule="auto"/>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6.民族地区爱国主义教育基地红色资源融入高校思想政治教育的内在逻辑和现实理路</w:t>
      </w:r>
    </w:p>
    <w:p>
      <w:pPr>
        <w:overflowPunct w:val="0"/>
        <w:spacing w:line="360" w:lineRule="auto"/>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7.历史中推进基督教中国化的案例及典型经验研究</w:t>
      </w:r>
    </w:p>
    <w:p>
      <w:pPr>
        <w:overflowPunct w:val="0"/>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8.</w:t>
      </w:r>
      <w:r>
        <w:rPr>
          <w:rFonts w:hint="eastAsia" w:ascii="仿宋_GB2312" w:hAnsi="仿宋_GB2312" w:eastAsia="仿宋_GB2312" w:cs="仿宋_GB2312"/>
          <w:color w:val="000000"/>
          <w:sz w:val="32"/>
          <w:szCs w:val="32"/>
        </w:rPr>
        <w:t>将铸牢中华民族共同体意识融入高校思政课程建设研究</w:t>
      </w:r>
    </w:p>
    <w:p>
      <w:pPr>
        <w:overflowPunct w:val="0"/>
        <w:spacing w:line="360" w:lineRule="auto"/>
        <w:ind w:firstLine="640" w:firstLineChars="200"/>
      </w:pPr>
      <w:r>
        <w:rPr>
          <w:rFonts w:hint="eastAsia" w:ascii="仿宋_GB2312" w:hAnsi="仿宋_GB2312" w:eastAsia="仿宋_GB2312" w:cs="仿宋_GB2312"/>
          <w:color w:val="000000"/>
          <w:kern w:val="0"/>
          <w:sz w:val="32"/>
        </w:rPr>
        <w:t>9.大中小学宗教知识政策法规教育的现状、问题及对策研究</w:t>
      </w:r>
    </w:p>
    <w:p>
      <w:pPr>
        <w:spacing w:line="360" w:lineRule="auto"/>
        <w:ind w:firstLine="640" w:firstLineChars="200"/>
        <w:rPr>
          <w:rFonts w:ascii="仿宋_GB2312" w:hAnsi="仿宋" w:eastAsia="仿宋_GB2312" w:cs="仿宋"/>
          <w:sz w:val="34"/>
          <w:szCs w:val="32"/>
        </w:rPr>
      </w:pPr>
      <w:r>
        <w:rPr>
          <w:rFonts w:hint="eastAsia" w:ascii="仿宋_GB2312" w:hAnsi="仿宋_GB2312" w:eastAsia="仿宋_GB2312" w:cs="仿宋_GB2312"/>
          <w:color w:val="000000"/>
          <w:sz w:val="32"/>
          <w:szCs w:val="32"/>
        </w:rPr>
        <w:t>10.</w:t>
      </w:r>
      <w:r>
        <w:rPr>
          <w:rFonts w:hint="eastAsia" w:ascii="仿宋_GB2312" w:hAnsi="仿宋_GB2312" w:eastAsia="仿宋_GB2312" w:cs="仿宋_GB2312"/>
          <w:color w:val="000000"/>
          <w:kern w:val="0"/>
          <w:sz w:val="32"/>
          <w:szCs w:val="32"/>
        </w:rPr>
        <w:t>空间赋能视角下新的社会阶层人士组织起来的对策研究</w:t>
      </w:r>
    </w:p>
    <w:p>
      <w:pPr>
        <w:spacing w:line="360" w:lineRule="auto"/>
        <w:ind w:firstLine="680" w:firstLineChars="200"/>
        <w:rPr>
          <w:rFonts w:ascii="仿宋_GB2312" w:hAnsi="仿宋" w:eastAsia="仿宋_GB2312" w:cs="仿宋"/>
          <w:sz w:val="34"/>
          <w:szCs w:val="32"/>
        </w:rPr>
      </w:pPr>
    </w:p>
    <w:p>
      <w:pPr>
        <w:spacing w:line="360" w:lineRule="auto"/>
        <w:ind w:firstLine="666" w:firstLineChars="196"/>
        <w:rPr>
          <w:rFonts w:ascii="仿宋_GB2312" w:hAnsi="仿宋" w:eastAsia="仿宋_GB2312" w:cs="仿宋"/>
          <w:sz w:val="34"/>
          <w:szCs w:val="32"/>
        </w:rPr>
      </w:pPr>
    </w:p>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3C3995B-5881-49F9-90DE-2E3F9EB8AC5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embedRegular r:id="rId2" w:fontKey="{DFE895B6-9366-4C66-8711-E5852C88FE9B}"/>
  </w:font>
  <w:font w:name="方正小标宋_GBK">
    <w:panose1 w:val="02000000000000000000"/>
    <w:charset w:val="86"/>
    <w:family w:val="auto"/>
    <w:pitch w:val="default"/>
    <w:sig w:usb0="A00002BF" w:usb1="38CF7CFA" w:usb2="00082016" w:usb3="00000000" w:csb0="00040001" w:csb1="00000000"/>
    <w:embedRegular r:id="rId3" w:fontKey="{80F5DD30-C325-4598-B859-EC3D226E9247}"/>
  </w:font>
  <w:font w:name="仿宋_GB2312">
    <w:altName w:val="仿宋"/>
    <w:panose1 w:val="02010609030101010101"/>
    <w:charset w:val="86"/>
    <w:family w:val="modern"/>
    <w:pitch w:val="default"/>
    <w:sig w:usb0="00000000" w:usb1="00000000" w:usb2="00000010" w:usb3="00000000" w:csb0="00040000" w:csb1="00000000"/>
    <w:embedRegular r:id="rId4" w:fontKey="{EB14CE06-5A13-49E4-9923-757AA65D0608}"/>
  </w:font>
  <w:font w:name="楷体_GB2312">
    <w:altName w:val="楷体"/>
    <w:panose1 w:val="02010609030101010101"/>
    <w:charset w:val="86"/>
    <w:family w:val="modern"/>
    <w:pitch w:val="default"/>
    <w:sig w:usb0="00000000" w:usb1="00000000" w:usb2="00000010" w:usb3="00000000" w:csb0="00040000" w:csb1="00000000"/>
    <w:embedRegular r:id="rId5" w:fontKey="{47076026-F0AC-48B0-B13A-20BD2BD240DE}"/>
  </w:font>
  <w:font w:name="仿宋">
    <w:panose1 w:val="02010609060101010101"/>
    <w:charset w:val="86"/>
    <w:family w:val="modern"/>
    <w:pitch w:val="default"/>
    <w:sig w:usb0="800002BF" w:usb1="38CF7CFA" w:usb2="00000016" w:usb3="00000000" w:csb0="00040001" w:csb1="00000000"/>
    <w:embedRegular r:id="rId6" w:fontKey="{2603424B-89CA-4396-900B-8FD292D269B9}"/>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Fonts w:asciiTheme="minorEastAsia" w:hAnsiTheme="minorEastAsia" w:eastAsiaTheme="minorEastAsia"/>
        <w:sz w:val="28"/>
        <w:szCs w:val="28"/>
      </w:rPr>
    </w:pPr>
    <w:r>
      <w:rPr>
        <w:rStyle w:val="9"/>
        <w:rFonts w:asciiTheme="minorEastAsia" w:hAnsiTheme="minorEastAsia" w:eastAsiaTheme="minorEastAsia"/>
        <w:sz w:val="28"/>
        <w:szCs w:val="28"/>
      </w:rPr>
      <w:fldChar w:fldCharType="begin"/>
    </w:r>
    <w:r>
      <w:rPr>
        <w:rStyle w:val="9"/>
        <w:rFonts w:asciiTheme="minorEastAsia" w:hAnsiTheme="minorEastAsia" w:eastAsiaTheme="minorEastAsia"/>
        <w:sz w:val="28"/>
        <w:szCs w:val="28"/>
      </w:rPr>
      <w:instrText xml:space="preserve">PAGE  </w:instrText>
    </w:r>
    <w:r>
      <w:rPr>
        <w:rStyle w:val="9"/>
        <w:rFonts w:asciiTheme="minorEastAsia" w:hAnsiTheme="minorEastAsia" w:eastAsiaTheme="minorEastAsia"/>
        <w:sz w:val="28"/>
        <w:szCs w:val="28"/>
      </w:rPr>
      <w:fldChar w:fldCharType="separate"/>
    </w:r>
    <w:r>
      <w:rPr>
        <w:rStyle w:val="9"/>
        <w:rFonts w:asciiTheme="minorEastAsia" w:hAnsiTheme="minorEastAsia" w:eastAsiaTheme="minorEastAsia"/>
        <w:sz w:val="28"/>
        <w:szCs w:val="28"/>
      </w:rPr>
      <w:t>- 16 -</w:t>
    </w:r>
    <w:r>
      <w:rPr>
        <w:rStyle w:val="9"/>
        <w:rFonts w:asciiTheme="minorEastAsia" w:hAnsiTheme="minorEastAsia" w:eastAsiaTheme="minorEastAsia"/>
        <w:sz w:val="28"/>
        <w:szCs w:val="28"/>
      </w:rPr>
      <w:fldChar w:fldCharType="end"/>
    </w:r>
  </w:p>
  <w:p>
    <w:pPr>
      <w:pStyle w:val="4"/>
      <w:rPr>
        <w:sz w:val="28"/>
        <w:szCs w:val="28"/>
      </w:rPr>
    </w:pPr>
  </w:p>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iYWNlYjJlNWU0NjRjYTUyNjJlNjM0OTI1NTVlMDkifQ=="/>
  </w:docVars>
  <w:rsids>
    <w:rsidRoot w:val="00F07728"/>
    <w:rsid w:val="001126A1"/>
    <w:rsid w:val="002D2664"/>
    <w:rsid w:val="00342280"/>
    <w:rsid w:val="004065EC"/>
    <w:rsid w:val="0045696D"/>
    <w:rsid w:val="004E647A"/>
    <w:rsid w:val="00503355"/>
    <w:rsid w:val="005C1373"/>
    <w:rsid w:val="006738C5"/>
    <w:rsid w:val="008943A4"/>
    <w:rsid w:val="008A329C"/>
    <w:rsid w:val="008D7ABF"/>
    <w:rsid w:val="008E43CC"/>
    <w:rsid w:val="0098720E"/>
    <w:rsid w:val="00C53D41"/>
    <w:rsid w:val="00C66C0F"/>
    <w:rsid w:val="00C761E0"/>
    <w:rsid w:val="00CF5785"/>
    <w:rsid w:val="00D63F10"/>
    <w:rsid w:val="00EA0D19"/>
    <w:rsid w:val="00EB490E"/>
    <w:rsid w:val="00F07728"/>
    <w:rsid w:val="18FD7F91"/>
    <w:rsid w:val="3EAB0813"/>
    <w:rsid w:val="44324407"/>
    <w:rsid w:val="527E4064"/>
    <w:rsid w:val="57AF5004"/>
    <w:rsid w:val="5AF50649"/>
    <w:rsid w:val="6EC9456E"/>
    <w:rsid w:val="7FF533D0"/>
    <w:rsid w:val="B57E9BD9"/>
    <w:rsid w:val="DEBB2E18"/>
    <w:rsid w:val="EEFDB22C"/>
    <w:rsid w:val="FEF7627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keepNext/>
      <w:keepLines/>
      <w:overflowPunct w:val="0"/>
      <w:spacing w:line="560" w:lineRule="exact"/>
      <w:jc w:val="center"/>
      <w:outlineLvl w:val="0"/>
    </w:pPr>
    <w:rPr>
      <w:b/>
      <w:bCs/>
      <w:kern w:val="44"/>
      <w:sz w:val="44"/>
      <w:szCs w:val="32"/>
    </w:rPr>
  </w:style>
  <w:style w:type="paragraph" w:styleId="3">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9">
    <w:name w:val="page number"/>
    <w:basedOn w:val="8"/>
    <w:autoRedefine/>
    <w:qFormat/>
    <w:uiPriority w:val="0"/>
  </w:style>
  <w:style w:type="character" w:styleId="10">
    <w:name w:val="Emphasis"/>
    <w:basedOn w:val="8"/>
    <w:autoRedefine/>
    <w:qFormat/>
    <w:uiPriority w:val="20"/>
    <w:rPr>
      <w:i/>
      <w:iCs/>
    </w:rPr>
  </w:style>
  <w:style w:type="character" w:customStyle="1" w:styleId="11">
    <w:name w:val="页眉 Char"/>
    <w:basedOn w:val="8"/>
    <w:link w:val="5"/>
    <w:uiPriority w:val="0"/>
    <w:rPr>
      <w:rFonts w:ascii="Calibri" w:hAnsi="Calibri"/>
      <w:kern w:val="2"/>
      <w:sz w:val="18"/>
      <w:szCs w:val="18"/>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852</Words>
  <Characters>4861</Characters>
  <Lines>40</Lines>
  <Paragraphs>11</Paragraphs>
  <TotalTime>91</TotalTime>
  <ScaleCrop>false</ScaleCrop>
  <LinksUpToDate>false</LinksUpToDate>
  <CharactersWithSpaces>5702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2024-03-25T08:00:00Z</dcterms:created>
  <dc:creator>Administrator</dc:creator>
  <cp:lastModifiedBy>孙嘉远</cp:lastModifiedBy>
  <dcterms:modified xsi:type="dcterms:W3CDTF">2024-03-27T02:25:40Z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25585AD3CE6F418396B691E6B7B6756F_13</vt:lpwstr>
  </property>
</Properties>
</file>